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4A3" w:rsidRDefault="000B321A" w:rsidP="000B321A">
      <w:pPr>
        <w:jc w:val="center"/>
        <w:rPr>
          <w:sz w:val="28"/>
          <w:szCs w:val="28"/>
        </w:rPr>
      </w:pPr>
      <w:r w:rsidRPr="000B321A">
        <w:rPr>
          <w:sz w:val="28"/>
          <w:szCs w:val="28"/>
        </w:rPr>
        <w:t>AZ EPILEPSZIA GYÓGYSZRES KEZELÉSE</w:t>
      </w:r>
    </w:p>
    <w:p w:rsidR="000B321A" w:rsidRDefault="000B321A" w:rsidP="000B321A">
      <w:pPr>
        <w:jc w:val="center"/>
        <w:rPr>
          <w:sz w:val="28"/>
          <w:szCs w:val="28"/>
        </w:rPr>
      </w:pPr>
    </w:p>
    <w:p w:rsidR="000B321A" w:rsidRDefault="000B321A" w:rsidP="000B321A">
      <w:pPr>
        <w:spacing w:after="0" w:line="240" w:lineRule="auto"/>
      </w:pPr>
      <w:proofErr w:type="spellStart"/>
      <w:r>
        <w:t>Spasmus</w:t>
      </w:r>
      <w:proofErr w:type="spellEnd"/>
      <w:r>
        <w:t>:  simaizom eredetű görcs</w:t>
      </w:r>
    </w:p>
    <w:p w:rsidR="000B321A" w:rsidRDefault="000B321A" w:rsidP="000B321A">
      <w:pPr>
        <w:spacing w:after="0" w:line="240" w:lineRule="auto"/>
        <w:ind w:left="993"/>
      </w:pPr>
      <w:r>
        <w:t xml:space="preserve">oldására </w:t>
      </w:r>
      <w:proofErr w:type="spellStart"/>
      <w:r>
        <w:t>spazmolítikus</w:t>
      </w:r>
      <w:proofErr w:type="spellEnd"/>
      <w:r>
        <w:t xml:space="preserve"> szereket használnak</w:t>
      </w:r>
    </w:p>
    <w:p w:rsidR="000B321A" w:rsidRDefault="000B321A" w:rsidP="000B321A">
      <w:pPr>
        <w:spacing w:after="0" w:line="240" w:lineRule="auto"/>
        <w:ind w:left="993"/>
      </w:pPr>
      <w:r>
        <w:t>pl. NOSPA</w:t>
      </w:r>
    </w:p>
    <w:p w:rsidR="000B321A" w:rsidRDefault="000B321A" w:rsidP="000B321A">
      <w:pPr>
        <w:spacing w:after="0" w:line="240" w:lineRule="auto"/>
        <w:ind w:left="993"/>
      </w:pPr>
    </w:p>
    <w:p w:rsidR="000B321A" w:rsidRDefault="000B321A" w:rsidP="000B321A">
      <w:pPr>
        <w:spacing w:after="0" w:line="240" w:lineRule="auto"/>
      </w:pPr>
      <w:proofErr w:type="spellStart"/>
      <w:r>
        <w:t>Convulsio</w:t>
      </w:r>
      <w:proofErr w:type="spellEnd"/>
      <w:r>
        <w:t>: kp-i idegrendszeri eredetű harántcsíkolt izmokat érintő görcs</w:t>
      </w:r>
    </w:p>
    <w:p w:rsidR="000B321A" w:rsidRDefault="000B321A" w:rsidP="000B321A">
      <w:pPr>
        <w:spacing w:after="0" w:line="240" w:lineRule="auto"/>
        <w:ind w:left="993"/>
      </w:pPr>
      <w:proofErr w:type="spellStart"/>
      <w:r>
        <w:t>anticonvulzív</w:t>
      </w:r>
      <w:proofErr w:type="spellEnd"/>
      <w:r>
        <w:t xml:space="preserve"> szerek</w:t>
      </w:r>
    </w:p>
    <w:p w:rsidR="000B321A" w:rsidRDefault="000B321A" w:rsidP="000B321A">
      <w:pPr>
        <w:spacing w:after="0" w:line="240" w:lineRule="auto"/>
        <w:ind w:left="993"/>
      </w:pPr>
    </w:p>
    <w:p w:rsidR="000B321A" w:rsidRDefault="000B321A" w:rsidP="000B321A">
      <w:pPr>
        <w:spacing w:after="0" w:line="240" w:lineRule="auto"/>
      </w:pPr>
    </w:p>
    <w:p w:rsidR="000B321A" w:rsidRDefault="000B321A" w:rsidP="000B321A">
      <w:pPr>
        <w:spacing w:after="0" w:line="240" w:lineRule="auto"/>
      </w:pPr>
      <w:r w:rsidRPr="00182371">
        <w:rPr>
          <w:b/>
        </w:rPr>
        <w:t>Epilepszia</w:t>
      </w:r>
      <w:r>
        <w:t>: régen Es-kórnak hívták</w:t>
      </w:r>
    </w:p>
    <w:p w:rsidR="000B321A" w:rsidRDefault="000B321A" w:rsidP="000B321A">
      <w:pPr>
        <w:pStyle w:val="Listaszerbekezds"/>
        <w:numPr>
          <w:ilvl w:val="0"/>
          <w:numId w:val="1"/>
        </w:numPr>
        <w:spacing w:after="0" w:line="240" w:lineRule="auto"/>
      </w:pPr>
      <w:r>
        <w:t>görcsrohamokkal járó krónikus betegség, amely legtöbbször kimutatható morfológiai elváltozásokkal jár</w:t>
      </w:r>
    </w:p>
    <w:p w:rsidR="000B321A" w:rsidRDefault="000B321A" w:rsidP="000B321A">
      <w:pPr>
        <w:pStyle w:val="Listaszerbekezds"/>
        <w:spacing w:after="0" w:line="240" w:lineRule="auto"/>
      </w:pPr>
      <w:r>
        <w:t>pl. szülési elváltozás, trauma, tumor</w:t>
      </w:r>
    </w:p>
    <w:p w:rsidR="000B321A" w:rsidRDefault="000B321A" w:rsidP="000B321A">
      <w:pPr>
        <w:pStyle w:val="Listaszerbekezds"/>
        <w:numPr>
          <w:ilvl w:val="0"/>
          <w:numId w:val="1"/>
        </w:numPr>
        <w:spacing w:after="0" w:line="240" w:lineRule="auto"/>
      </w:pPr>
      <w:r>
        <w:t>van, amikor nincs kimutatható morfológiai elváltozás</w:t>
      </w:r>
      <w:r w:rsidR="00361391">
        <w:t xml:space="preserve"> - anyagcserezavarok, vagy gyógyszeres </w:t>
      </w:r>
      <w:proofErr w:type="spellStart"/>
      <w:r w:rsidR="00361391">
        <w:t>köpcsönhatás</w:t>
      </w:r>
      <w:proofErr w:type="spellEnd"/>
    </w:p>
    <w:p w:rsidR="00361391" w:rsidRDefault="00361391" w:rsidP="000B321A">
      <w:pPr>
        <w:pStyle w:val="Listaszerbekezds"/>
        <w:numPr>
          <w:ilvl w:val="0"/>
          <w:numId w:val="1"/>
        </w:numPr>
        <w:spacing w:after="0" w:line="240" w:lineRule="auto"/>
      </w:pPr>
      <w:proofErr w:type="spellStart"/>
      <w:r>
        <w:t>epileptiform</w:t>
      </w:r>
      <w:proofErr w:type="spellEnd"/>
      <w:r>
        <w:t xml:space="preserve"> elváltozás: anyagcserezavaroknál ilyen pl. a diabetes mellitus </w:t>
      </w:r>
      <w:proofErr w:type="spellStart"/>
      <w:r>
        <w:t>hypoglykaemiás</w:t>
      </w:r>
      <w:proofErr w:type="spellEnd"/>
      <w:r>
        <w:t xml:space="preserve"> formája, vagy gyógyszer mellékhatásként antidepresszáns, </w:t>
      </w:r>
      <w:proofErr w:type="spellStart"/>
      <w:r>
        <w:t>antipszichotikus</w:t>
      </w:r>
      <w:proofErr w:type="spellEnd"/>
      <w:r>
        <w:t xml:space="preserve"> szerek</w:t>
      </w:r>
    </w:p>
    <w:p w:rsidR="00361391" w:rsidRDefault="00182371" w:rsidP="000B321A">
      <w:pPr>
        <w:pStyle w:val="Listaszerbekezds"/>
        <w:numPr>
          <w:ilvl w:val="0"/>
          <w:numId w:val="1"/>
        </w:numPr>
        <w:spacing w:after="0" w:line="240" w:lineRule="auto"/>
      </w:pPr>
      <w:r>
        <w:t>agy egy pontjának heves kisülésével indul - ez alkotja a fókuszt - vagy lokális marad, vagy továbbterjed más agyterületekre - a fókusz helye és terjedésének mértéke határozza meg a tüneteket</w:t>
      </w:r>
    </w:p>
    <w:p w:rsidR="00182371" w:rsidRDefault="00182371" w:rsidP="00182371">
      <w:pPr>
        <w:pStyle w:val="Listaszerbekezds"/>
        <w:numPr>
          <w:ilvl w:val="1"/>
          <w:numId w:val="1"/>
        </w:numPr>
        <w:spacing w:after="0" w:line="240" w:lineRule="auto"/>
      </w:pPr>
      <w:r>
        <w:t>ha a motoros kérget érinti - látható a tónusos görcs</w:t>
      </w:r>
    </w:p>
    <w:p w:rsidR="00182371" w:rsidRDefault="00182371" w:rsidP="00182371">
      <w:pPr>
        <w:pStyle w:val="Listaszerbekezds"/>
        <w:numPr>
          <w:ilvl w:val="1"/>
          <w:numId w:val="1"/>
        </w:numPr>
        <w:spacing w:after="0" w:line="240" w:lineRule="auto"/>
      </w:pPr>
      <w:r>
        <w:t xml:space="preserve">ha a </w:t>
      </w:r>
      <w:proofErr w:type="spellStart"/>
      <w:r>
        <w:t>formatio</w:t>
      </w:r>
      <w:proofErr w:type="spellEnd"/>
      <w:r>
        <w:t xml:space="preserve"> </w:t>
      </w:r>
      <w:proofErr w:type="spellStart"/>
      <w:r>
        <w:t>reticularis</w:t>
      </w:r>
      <w:proofErr w:type="spellEnd"/>
      <w:r>
        <w:t xml:space="preserve"> érintett, akkor eszméletvesztés </w:t>
      </w:r>
      <w:proofErr w:type="spellStart"/>
      <w:r>
        <w:t>lehet</w:t>
      </w:r>
      <w:proofErr w:type="spellEnd"/>
    </w:p>
    <w:p w:rsidR="00182371" w:rsidRDefault="00182371" w:rsidP="00182371">
      <w:pPr>
        <w:pStyle w:val="Listaszerbekezds"/>
        <w:spacing w:after="0" w:line="240" w:lineRule="auto"/>
        <w:ind w:left="1440"/>
      </w:pPr>
    </w:p>
    <w:p w:rsidR="00182371" w:rsidRPr="003A0199" w:rsidRDefault="00182371" w:rsidP="00182371">
      <w:pPr>
        <w:pStyle w:val="Listaszerbekezds"/>
        <w:spacing w:after="0" w:line="240" w:lineRule="auto"/>
        <w:ind w:left="0"/>
        <w:rPr>
          <w:u w:val="single"/>
        </w:rPr>
      </w:pPr>
      <w:proofErr w:type="spellStart"/>
      <w:r w:rsidRPr="003A0199">
        <w:rPr>
          <w:u w:val="single"/>
        </w:rPr>
        <w:t>Patomechanizmusa</w:t>
      </w:r>
      <w:proofErr w:type="spellEnd"/>
      <w:r w:rsidRPr="003A0199">
        <w:rPr>
          <w:u w:val="single"/>
        </w:rPr>
        <w:t>:</w:t>
      </w:r>
    </w:p>
    <w:p w:rsidR="00182371" w:rsidRDefault="00182371" w:rsidP="00182371">
      <w:pPr>
        <w:pStyle w:val="Listaszerbekezds"/>
        <w:numPr>
          <w:ilvl w:val="0"/>
          <w:numId w:val="1"/>
        </w:numPr>
        <w:spacing w:after="0" w:line="240" w:lineRule="auto"/>
      </w:pPr>
      <w:r>
        <w:t>kialakulása nem ismert</w:t>
      </w:r>
    </w:p>
    <w:p w:rsidR="00182371" w:rsidRDefault="00182371" w:rsidP="00182371">
      <w:pPr>
        <w:pStyle w:val="Listaszerbekezds"/>
        <w:numPr>
          <w:ilvl w:val="0"/>
          <w:numId w:val="1"/>
        </w:numPr>
        <w:spacing w:after="0" w:line="240" w:lineRule="auto"/>
      </w:pPr>
      <w:r>
        <w:t xml:space="preserve">használt gyógyszerek </w:t>
      </w:r>
      <w:proofErr w:type="spellStart"/>
      <w:r>
        <w:t>hatásmchanizmusából</w:t>
      </w:r>
      <w:proofErr w:type="spellEnd"/>
      <w:r>
        <w:t xml:space="preserve"> következtetnek</w:t>
      </w:r>
    </w:p>
    <w:p w:rsidR="00182371" w:rsidRDefault="00182371" w:rsidP="00182371">
      <w:pPr>
        <w:pStyle w:val="Listaszerbekezds"/>
        <w:numPr>
          <w:ilvl w:val="0"/>
          <w:numId w:val="1"/>
        </w:numPr>
        <w:spacing w:after="0" w:line="240" w:lineRule="auto"/>
      </w:pPr>
      <w:r>
        <w:t>izgalmi és gátló egyensúly felbomlása</w:t>
      </w:r>
    </w:p>
    <w:p w:rsidR="00182371" w:rsidRDefault="00182371" w:rsidP="00182371">
      <w:pPr>
        <w:spacing w:after="0" w:line="240" w:lineRule="auto"/>
      </w:pPr>
    </w:p>
    <w:p w:rsidR="00182371" w:rsidRDefault="00182371" w:rsidP="00182371">
      <w:pPr>
        <w:pStyle w:val="Listaszerbekezds"/>
        <w:numPr>
          <w:ilvl w:val="0"/>
          <w:numId w:val="2"/>
        </w:numPr>
        <w:spacing w:after="0" w:line="240" w:lineRule="auto"/>
      </w:pPr>
      <w:r>
        <w:t xml:space="preserve">leginkább izgató </w:t>
      </w:r>
      <w:proofErr w:type="spellStart"/>
      <w:r>
        <w:t>neurótranszmitter</w:t>
      </w:r>
      <w:proofErr w:type="spellEnd"/>
    </w:p>
    <w:p w:rsidR="00182371" w:rsidRDefault="00182371" w:rsidP="00182371">
      <w:pPr>
        <w:pStyle w:val="Listaszerbekezds"/>
        <w:spacing w:after="0" w:line="240" w:lineRule="auto"/>
        <w:ind w:left="851"/>
      </w:pPr>
      <w:proofErr w:type="spellStart"/>
      <w:r>
        <w:t>glutamát</w:t>
      </w:r>
      <w:proofErr w:type="spellEnd"/>
      <w:r>
        <w:t>: többféle receptoron keresztül fejti ki a hatását</w:t>
      </w:r>
    </w:p>
    <w:p w:rsidR="009F5146" w:rsidRDefault="00182371" w:rsidP="009F5146">
      <w:pPr>
        <w:pStyle w:val="Listaszerbekezds"/>
        <w:numPr>
          <w:ilvl w:val="0"/>
          <w:numId w:val="2"/>
        </w:numPr>
        <w:spacing w:after="0" w:line="240" w:lineRule="auto"/>
      </w:pPr>
      <w:r>
        <w:t xml:space="preserve">leginkább gátló </w:t>
      </w:r>
      <w:proofErr w:type="spellStart"/>
      <w:r>
        <w:t>neurotranszmitter</w:t>
      </w:r>
      <w:proofErr w:type="spellEnd"/>
    </w:p>
    <w:p w:rsidR="009F5146" w:rsidRDefault="00182371" w:rsidP="009F5146">
      <w:pPr>
        <w:pStyle w:val="Listaszerbekezds"/>
        <w:spacing w:after="0" w:line="240" w:lineRule="auto"/>
        <w:ind w:left="851"/>
      </w:pPr>
      <w:r>
        <w:t xml:space="preserve">GABA: többnyire </w:t>
      </w:r>
      <w:proofErr w:type="spellStart"/>
      <w:r>
        <w:t>interneuronokat</w:t>
      </w:r>
      <w:proofErr w:type="spellEnd"/>
      <w:r>
        <w:t xml:space="preserve"> gátol</w:t>
      </w:r>
    </w:p>
    <w:p w:rsidR="009F5146" w:rsidRDefault="009F5146" w:rsidP="009F5146">
      <w:pPr>
        <w:pStyle w:val="Listaszerbekezds"/>
        <w:numPr>
          <w:ilvl w:val="0"/>
          <w:numId w:val="2"/>
        </w:numPr>
        <w:spacing w:after="0" w:line="240" w:lineRule="auto"/>
      </w:pPr>
      <w:r>
        <w:t>feszültségfüggő Na-csatornák fokozott aktivitása</w:t>
      </w:r>
    </w:p>
    <w:p w:rsidR="009F5146" w:rsidRDefault="009F5146" w:rsidP="009F5146">
      <w:pPr>
        <w:pStyle w:val="Listaszerbekezds"/>
        <w:spacing w:after="0" w:line="240" w:lineRule="auto"/>
        <w:ind w:left="851"/>
      </w:pPr>
      <w:r>
        <w:t>neuronok membráningerlékenységét befolyásolja - akciós potenciál kialakulásához vezet</w:t>
      </w:r>
    </w:p>
    <w:p w:rsidR="009F5146" w:rsidRDefault="009F5146" w:rsidP="009F5146">
      <w:pPr>
        <w:pStyle w:val="Listaszerbekezds"/>
        <w:spacing w:after="0" w:line="240" w:lineRule="auto"/>
        <w:ind w:left="851"/>
      </w:pPr>
    </w:p>
    <w:p w:rsidR="009F5146" w:rsidRDefault="009F5146" w:rsidP="009F5146">
      <w:pPr>
        <w:pStyle w:val="Listaszerbekezds"/>
        <w:numPr>
          <w:ilvl w:val="0"/>
          <w:numId w:val="3"/>
        </w:numPr>
        <w:tabs>
          <w:tab w:val="left" w:pos="851"/>
        </w:tabs>
        <w:spacing w:after="0" w:line="240" w:lineRule="auto"/>
        <w:ind w:left="567" w:hanging="11"/>
      </w:pPr>
      <w:r>
        <w:t>különböző klinikai formában jelentkeznek a rohamok</w:t>
      </w:r>
    </w:p>
    <w:p w:rsidR="009F5146" w:rsidRDefault="009F5146" w:rsidP="009F5146">
      <w:pPr>
        <w:pStyle w:val="Listaszerbekezds"/>
        <w:tabs>
          <w:tab w:val="left" w:pos="851"/>
        </w:tabs>
        <w:spacing w:after="0" w:line="240" w:lineRule="auto"/>
        <w:ind w:left="567"/>
      </w:pPr>
    </w:p>
    <w:p w:rsidR="009F5146" w:rsidRPr="003A0199" w:rsidRDefault="009F5146" w:rsidP="009F5146">
      <w:pPr>
        <w:pStyle w:val="Listaszerbekezds"/>
        <w:spacing w:after="0" w:line="240" w:lineRule="auto"/>
        <w:ind w:left="0"/>
        <w:rPr>
          <w:u w:val="single"/>
        </w:rPr>
      </w:pPr>
      <w:r w:rsidRPr="003A0199">
        <w:rPr>
          <w:u w:val="single"/>
        </w:rPr>
        <w:t xml:space="preserve">1. </w:t>
      </w:r>
      <w:proofErr w:type="spellStart"/>
      <w:r w:rsidRPr="003A0199">
        <w:rPr>
          <w:u w:val="single"/>
        </w:rPr>
        <w:t>parcialis</w:t>
      </w:r>
      <w:proofErr w:type="spellEnd"/>
      <w:r w:rsidRPr="003A0199">
        <w:rPr>
          <w:u w:val="single"/>
        </w:rPr>
        <w:t xml:space="preserve"> / </w:t>
      </w:r>
      <w:proofErr w:type="spellStart"/>
      <w:r w:rsidRPr="003A0199">
        <w:rPr>
          <w:u w:val="single"/>
        </w:rPr>
        <w:t>fokalis</w:t>
      </w:r>
      <w:proofErr w:type="spellEnd"/>
    </w:p>
    <w:p w:rsidR="003A0199" w:rsidRDefault="003A0199" w:rsidP="009F5146">
      <w:pPr>
        <w:pStyle w:val="Listaszerbekezds"/>
        <w:spacing w:after="0" w:line="240" w:lineRule="auto"/>
        <w:ind w:left="0"/>
      </w:pPr>
    </w:p>
    <w:p w:rsidR="009F5146" w:rsidRDefault="003A0199" w:rsidP="009F5146">
      <w:pPr>
        <w:pStyle w:val="Listaszerbekezds"/>
        <w:numPr>
          <w:ilvl w:val="0"/>
          <w:numId w:val="3"/>
        </w:numPr>
        <w:spacing w:after="0" w:line="240" w:lineRule="auto"/>
        <w:ind w:left="426" w:hanging="11"/>
      </w:pPr>
      <w:r>
        <w:t>egyszerű: fókusz lokalizált marad</w:t>
      </w:r>
    </w:p>
    <w:p w:rsidR="003A0199" w:rsidRDefault="003A0199" w:rsidP="003A0199">
      <w:pPr>
        <w:pStyle w:val="Listaszerbekezds"/>
        <w:spacing w:after="0" w:line="240" w:lineRule="auto"/>
        <w:ind w:left="1701"/>
      </w:pPr>
      <w:r>
        <w:t>temporális v. frontális lebenyben</w:t>
      </w:r>
    </w:p>
    <w:p w:rsidR="003A0199" w:rsidRDefault="003A0199" w:rsidP="003A0199">
      <w:pPr>
        <w:pStyle w:val="Listaszerbekezds"/>
        <w:spacing w:after="0" w:line="240" w:lineRule="auto"/>
        <w:ind w:left="1701"/>
      </w:pPr>
      <w:r>
        <w:t>nincs eszméletvesztés</w:t>
      </w:r>
    </w:p>
    <w:p w:rsidR="003A0199" w:rsidRDefault="003A0199" w:rsidP="003A0199">
      <w:pPr>
        <w:pStyle w:val="Listaszerbekezds"/>
        <w:spacing w:after="0" w:line="240" w:lineRule="auto"/>
        <w:ind w:left="1701"/>
      </w:pPr>
    </w:p>
    <w:p w:rsidR="003A0199" w:rsidRDefault="003A0199" w:rsidP="003A0199">
      <w:pPr>
        <w:pStyle w:val="Listaszerbekezds"/>
        <w:numPr>
          <w:ilvl w:val="0"/>
          <w:numId w:val="3"/>
        </w:numPr>
        <w:spacing w:after="0" w:line="240" w:lineRule="auto"/>
        <w:ind w:left="709"/>
      </w:pPr>
      <w:r>
        <w:t>komplex: fókusz továbbterjedhet</w:t>
      </w:r>
    </w:p>
    <w:p w:rsidR="003A0199" w:rsidRDefault="003A0199" w:rsidP="003A0199">
      <w:pPr>
        <w:pStyle w:val="Listaszerbekezds"/>
        <w:spacing w:after="0" w:line="240" w:lineRule="auto"/>
        <w:ind w:left="709"/>
      </w:pPr>
    </w:p>
    <w:p w:rsidR="00CC3C63" w:rsidRDefault="00CC3C63" w:rsidP="003A0199">
      <w:pPr>
        <w:pStyle w:val="Listaszerbekezds"/>
        <w:spacing w:after="0" w:line="240" w:lineRule="auto"/>
        <w:ind w:left="0"/>
        <w:rPr>
          <w:u w:val="single"/>
        </w:rPr>
      </w:pPr>
    </w:p>
    <w:p w:rsidR="00CC3C63" w:rsidRDefault="00CC3C63" w:rsidP="003A0199">
      <w:pPr>
        <w:pStyle w:val="Listaszerbekezds"/>
        <w:spacing w:after="0" w:line="240" w:lineRule="auto"/>
        <w:ind w:left="0"/>
        <w:rPr>
          <w:u w:val="single"/>
        </w:rPr>
      </w:pPr>
    </w:p>
    <w:p w:rsidR="00CC3C63" w:rsidRDefault="00CC3C63" w:rsidP="003A0199">
      <w:pPr>
        <w:pStyle w:val="Listaszerbekezds"/>
        <w:spacing w:after="0" w:line="240" w:lineRule="auto"/>
        <w:ind w:left="0"/>
        <w:rPr>
          <w:u w:val="single"/>
        </w:rPr>
      </w:pPr>
    </w:p>
    <w:p w:rsidR="000B321A" w:rsidRDefault="003A0199" w:rsidP="003A0199">
      <w:pPr>
        <w:pStyle w:val="Listaszerbekezds"/>
        <w:spacing w:after="0" w:line="240" w:lineRule="auto"/>
        <w:ind w:left="0"/>
      </w:pPr>
      <w:r w:rsidRPr="003A0199">
        <w:rPr>
          <w:u w:val="single"/>
        </w:rPr>
        <w:lastRenderedPageBreak/>
        <w:t>2. generalizált</w:t>
      </w:r>
      <w:r>
        <w:t xml:space="preserve"> (már eleve több agyterületet érint)</w:t>
      </w:r>
    </w:p>
    <w:p w:rsidR="003A0199" w:rsidRDefault="003A0199" w:rsidP="003A0199">
      <w:pPr>
        <w:pStyle w:val="Listaszerbekezds"/>
        <w:spacing w:after="0" w:line="240" w:lineRule="auto"/>
        <w:ind w:left="0"/>
      </w:pPr>
    </w:p>
    <w:p w:rsidR="003A0199" w:rsidRDefault="003A0199" w:rsidP="003A0199">
      <w:pPr>
        <w:pStyle w:val="Listaszerbekezds"/>
        <w:spacing w:after="0" w:line="240" w:lineRule="auto"/>
        <w:ind w:left="426"/>
      </w:pPr>
      <w:r>
        <w:t xml:space="preserve">a) petit </w:t>
      </w:r>
      <w:proofErr w:type="spellStart"/>
      <w:r>
        <w:t>mal</w:t>
      </w:r>
      <w:proofErr w:type="spellEnd"/>
      <w:r>
        <w:t xml:space="preserve"> / </w:t>
      </w:r>
      <w:proofErr w:type="spellStart"/>
      <w:r>
        <w:t>absence</w:t>
      </w:r>
      <w:proofErr w:type="spellEnd"/>
      <w:r>
        <w:t xml:space="preserve"> (kis roham): eszméletkihagyás</w:t>
      </w:r>
    </w:p>
    <w:p w:rsidR="000B321A" w:rsidRDefault="00CC3C63" w:rsidP="00CC3C63">
      <w:pPr>
        <w:ind w:left="3544"/>
      </w:pPr>
      <w:r>
        <w:t xml:space="preserve">néhány </w:t>
      </w:r>
      <w:proofErr w:type="spellStart"/>
      <w:r>
        <w:t>simaizomcsoportot</w:t>
      </w:r>
      <w:proofErr w:type="spellEnd"/>
      <w:r>
        <w:t xml:space="preserve"> érint (</w:t>
      </w:r>
      <w:proofErr w:type="spellStart"/>
      <w:r>
        <w:t>myoclonusos</w:t>
      </w:r>
      <w:proofErr w:type="spellEnd"/>
      <w:r>
        <w:t>)</w:t>
      </w:r>
    </w:p>
    <w:p w:rsidR="00CC3C63" w:rsidRDefault="00CC3C63" w:rsidP="00CC3C63">
      <w:pPr>
        <w:ind w:left="426"/>
      </w:pPr>
      <w:r>
        <w:t xml:space="preserve">b) grand </w:t>
      </w:r>
      <w:proofErr w:type="spellStart"/>
      <w:r>
        <w:t>mal</w:t>
      </w:r>
      <w:proofErr w:type="spellEnd"/>
      <w:r>
        <w:t xml:space="preserve"> (nagy roham): előérzettel (aura) indul, majd tónusos/</w:t>
      </w:r>
      <w:proofErr w:type="spellStart"/>
      <w:r>
        <w:t>klónusos</w:t>
      </w:r>
      <w:proofErr w:type="spellEnd"/>
      <w:r>
        <w:t xml:space="preserve"> görcs, beteg </w:t>
      </w:r>
      <w:r w:rsidR="00E74D13">
        <w:t xml:space="preserve">   </w:t>
      </w:r>
      <w:r>
        <w:t>eszméletlen, szája habzik, székletét és vizeletét maga alá üríti, ezt a rángást a mély alvás követi, majd a beteg felébred</w:t>
      </w:r>
    </w:p>
    <w:p w:rsidR="00E74D13" w:rsidRDefault="00E74D13" w:rsidP="00CC3C63">
      <w:pPr>
        <w:ind w:left="426"/>
      </w:pPr>
      <w:r>
        <w:t xml:space="preserve">c) status </w:t>
      </w:r>
      <w:proofErr w:type="spellStart"/>
      <w:r>
        <w:t>epilepticus</w:t>
      </w:r>
      <w:proofErr w:type="spellEnd"/>
      <w:r>
        <w:t xml:space="preserve"> (halmozott nagy roham): rohamok között nem tér magához - életveszélyes állapotba is kerülhet</w:t>
      </w:r>
    </w:p>
    <w:p w:rsidR="00E74D13" w:rsidRDefault="00E74D13" w:rsidP="00E74D13">
      <w:pPr>
        <w:spacing w:after="0" w:line="240" w:lineRule="auto"/>
      </w:pPr>
      <w:r>
        <w:t>Számtalan alfaja létezik:</w:t>
      </w:r>
    </w:p>
    <w:p w:rsidR="00E74D13" w:rsidRDefault="00E74D13" w:rsidP="00E74D13">
      <w:pPr>
        <w:pStyle w:val="Listaszerbekezds"/>
        <w:numPr>
          <w:ilvl w:val="0"/>
          <w:numId w:val="3"/>
        </w:numPr>
        <w:spacing w:after="0" w:line="240" w:lineRule="auto"/>
        <w:ind w:left="709"/>
      </w:pPr>
      <w:r>
        <w:t>pszichés, magatartás zavarok kísérhetik</w:t>
      </w:r>
    </w:p>
    <w:p w:rsidR="00E74D13" w:rsidRDefault="00E74D13" w:rsidP="00E74D13">
      <w:pPr>
        <w:pStyle w:val="Listaszerbekezds"/>
        <w:numPr>
          <w:ilvl w:val="0"/>
          <w:numId w:val="3"/>
        </w:numPr>
        <w:spacing w:after="0" w:line="240" w:lineRule="auto"/>
        <w:ind w:left="709"/>
      </w:pPr>
      <w:r>
        <w:t>diagnosztikája könnyebb lett</w:t>
      </w:r>
    </w:p>
    <w:p w:rsidR="00E74D13" w:rsidRDefault="00E74D13" w:rsidP="00E74D13">
      <w:pPr>
        <w:pStyle w:val="Listaszerbekezds"/>
        <w:numPr>
          <w:ilvl w:val="1"/>
          <w:numId w:val="3"/>
        </w:numPr>
        <w:spacing w:after="0" w:line="240" w:lineRule="auto"/>
        <w:ind w:left="1560"/>
      </w:pPr>
      <w:r>
        <w:t>régen EEG-vel</w:t>
      </w:r>
    </w:p>
    <w:p w:rsidR="00E74D13" w:rsidRDefault="00E74D13" w:rsidP="00E74D13">
      <w:pPr>
        <w:pStyle w:val="Listaszerbekezds"/>
        <w:numPr>
          <w:ilvl w:val="1"/>
          <w:numId w:val="3"/>
        </w:numPr>
        <w:spacing w:after="0" w:line="240" w:lineRule="auto"/>
        <w:ind w:left="1560"/>
      </w:pPr>
      <w:r>
        <w:t xml:space="preserve">ma MRI, </w:t>
      </w:r>
      <w:proofErr w:type="spellStart"/>
      <w:r>
        <w:t>CT-vel</w:t>
      </w:r>
      <w:proofErr w:type="spellEnd"/>
      <w:r>
        <w:t xml:space="preserve"> a fókusz is kimutatható</w:t>
      </w:r>
    </w:p>
    <w:p w:rsidR="00E74D13" w:rsidRDefault="00E74D13" w:rsidP="00E74D13">
      <w:pPr>
        <w:pStyle w:val="Listaszerbekezds"/>
        <w:numPr>
          <w:ilvl w:val="1"/>
          <w:numId w:val="3"/>
        </w:numPr>
        <w:spacing w:after="0" w:line="240" w:lineRule="auto"/>
        <w:ind w:left="1560"/>
      </w:pPr>
      <w:r>
        <w:t>érdemes laborvizsgálatot is végezni az esetleges anyagcserezavarok miatt</w:t>
      </w:r>
    </w:p>
    <w:p w:rsidR="00E74D13" w:rsidRDefault="00E74D13" w:rsidP="00E74D13">
      <w:pPr>
        <w:pStyle w:val="Listaszerbekezds"/>
        <w:spacing w:after="0" w:line="240" w:lineRule="auto"/>
        <w:ind w:left="1560"/>
      </w:pPr>
    </w:p>
    <w:p w:rsidR="00E74D13" w:rsidRDefault="00E74D13" w:rsidP="00E74D13">
      <w:pPr>
        <w:pStyle w:val="Listaszerbekezds"/>
        <w:spacing w:after="0" w:line="240" w:lineRule="auto"/>
        <w:ind w:left="0"/>
      </w:pPr>
      <w:r>
        <w:t>A terápia célja kettős:</w:t>
      </w:r>
    </w:p>
    <w:p w:rsidR="00E74D13" w:rsidRDefault="00E74D13" w:rsidP="00E74D13">
      <w:pPr>
        <w:pStyle w:val="Listaszerbekezds"/>
        <w:numPr>
          <w:ilvl w:val="0"/>
          <w:numId w:val="4"/>
        </w:numPr>
        <w:spacing w:after="0" w:line="240" w:lineRule="auto"/>
        <w:ind w:left="709"/>
      </w:pPr>
      <w:r>
        <w:t>roham kialakulásának kezelése</w:t>
      </w:r>
    </w:p>
    <w:p w:rsidR="00E74D13" w:rsidRDefault="00E74D13" w:rsidP="00E74D13">
      <w:pPr>
        <w:pStyle w:val="Listaszerbekezds"/>
        <w:numPr>
          <w:ilvl w:val="0"/>
          <w:numId w:val="4"/>
        </w:numPr>
        <w:spacing w:after="0" w:line="240" w:lineRule="auto"/>
        <w:ind w:left="709"/>
      </w:pPr>
      <w:r>
        <w:t>roham oldása</w:t>
      </w:r>
    </w:p>
    <w:p w:rsidR="00E74D13" w:rsidRDefault="00E74D13" w:rsidP="00E74D13">
      <w:pPr>
        <w:pStyle w:val="Listaszerbekezds"/>
        <w:numPr>
          <w:ilvl w:val="1"/>
          <w:numId w:val="4"/>
        </w:numPr>
        <w:spacing w:after="0" w:line="240" w:lineRule="auto"/>
      </w:pPr>
      <w:r>
        <w:t xml:space="preserve">elsősorban </w:t>
      </w:r>
      <w:proofErr w:type="spellStart"/>
      <w:r>
        <w:t>monoterápiát</w:t>
      </w:r>
      <w:proofErr w:type="spellEnd"/>
      <w:r>
        <w:t xml:space="preserve"> alkalmazunk</w:t>
      </w:r>
    </w:p>
    <w:p w:rsidR="00E74D13" w:rsidRDefault="00E74D13" w:rsidP="00E74D13">
      <w:pPr>
        <w:pStyle w:val="Listaszerbekezds"/>
        <w:numPr>
          <w:ilvl w:val="1"/>
          <w:numId w:val="4"/>
        </w:numPr>
        <w:spacing w:after="0" w:line="240" w:lineRule="auto"/>
      </w:pPr>
      <w:r>
        <w:t xml:space="preserve">az </w:t>
      </w:r>
      <w:proofErr w:type="spellStart"/>
      <w:r>
        <w:t>antieplileptikus</w:t>
      </w:r>
      <w:proofErr w:type="spellEnd"/>
      <w:r>
        <w:t xml:space="preserve"> szerek serkentik a </w:t>
      </w:r>
      <w:proofErr w:type="spellStart"/>
      <w:r>
        <w:t>citokróm</w:t>
      </w:r>
      <w:proofErr w:type="spellEnd"/>
      <w:r>
        <w:t xml:space="preserve"> P-450 hatását - más gyógyszerek hatását viszont lassítják</w:t>
      </w:r>
    </w:p>
    <w:p w:rsidR="00E74D13" w:rsidRDefault="00E74D13" w:rsidP="00E74D13">
      <w:pPr>
        <w:pStyle w:val="Listaszerbekezds"/>
        <w:numPr>
          <w:ilvl w:val="1"/>
          <w:numId w:val="4"/>
        </w:numPr>
        <w:spacing w:after="0" w:line="240" w:lineRule="auto"/>
      </w:pPr>
      <w:r>
        <w:t>hosszú kezelés - min. 2 év görcsmentes periódus után lehet a gyógyszeres kezelést abbahagyni</w:t>
      </w:r>
    </w:p>
    <w:p w:rsidR="003F66B9" w:rsidRDefault="003F66B9" w:rsidP="00E74D13">
      <w:pPr>
        <w:pStyle w:val="Listaszerbekezds"/>
        <w:numPr>
          <w:ilvl w:val="1"/>
          <w:numId w:val="4"/>
        </w:numPr>
        <w:spacing w:after="0" w:line="240" w:lineRule="auto"/>
      </w:pPr>
      <w:r>
        <w:t>legtöbb szer a feszültségfüggő Na-csatornákat gátolja, vagy a GABA gátlást erősíti (bontóenzimjének gátlásával fejtik ki)</w:t>
      </w:r>
    </w:p>
    <w:p w:rsidR="003F66B9" w:rsidRDefault="003F66B9" w:rsidP="003F66B9">
      <w:pPr>
        <w:pStyle w:val="Listaszerbekezds"/>
        <w:spacing w:after="0" w:line="240" w:lineRule="auto"/>
        <w:ind w:left="1440"/>
      </w:pPr>
    </w:p>
    <w:p w:rsidR="003F66B9" w:rsidRDefault="003F66B9" w:rsidP="003F66B9">
      <w:pPr>
        <w:pStyle w:val="Listaszerbekezds"/>
        <w:tabs>
          <w:tab w:val="left" w:pos="2127"/>
        </w:tabs>
        <w:spacing w:after="0" w:line="240" w:lineRule="auto"/>
        <w:ind w:left="0"/>
      </w:pPr>
      <w:r w:rsidRPr="00311CA1">
        <w:rPr>
          <w:b/>
        </w:rPr>
        <w:t>1</w:t>
      </w:r>
      <w:r>
        <w:t xml:space="preserve">. </w:t>
      </w:r>
      <w:proofErr w:type="spellStart"/>
      <w:r>
        <w:t>fenitoin</w:t>
      </w:r>
      <w:proofErr w:type="spellEnd"/>
      <w:r>
        <w:tab/>
        <w:t xml:space="preserve">DIPHEDAN </w:t>
      </w:r>
      <w:proofErr w:type="spellStart"/>
      <w:r>
        <w:t>tabl</w:t>
      </w:r>
      <w:proofErr w:type="spellEnd"/>
      <w:r>
        <w:t>.</w:t>
      </w:r>
    </w:p>
    <w:p w:rsidR="003F66B9" w:rsidRDefault="003F66B9" w:rsidP="003F66B9">
      <w:pPr>
        <w:pStyle w:val="Listaszerbekezds"/>
        <w:tabs>
          <w:tab w:val="left" w:pos="2127"/>
        </w:tabs>
        <w:spacing w:after="0" w:line="240" w:lineRule="auto"/>
        <w:ind w:left="0"/>
      </w:pPr>
      <w:r>
        <w:tab/>
        <w:t xml:space="preserve">EPANUTIN </w:t>
      </w:r>
      <w:proofErr w:type="spellStart"/>
      <w:r>
        <w:t>inj</w:t>
      </w:r>
      <w:proofErr w:type="spellEnd"/>
      <w:r>
        <w:t>.</w:t>
      </w:r>
    </w:p>
    <w:p w:rsidR="003F66B9" w:rsidRDefault="003F66B9" w:rsidP="003F66B9">
      <w:pPr>
        <w:pStyle w:val="Listaszerbekezds"/>
        <w:tabs>
          <w:tab w:val="left" w:pos="2127"/>
        </w:tabs>
        <w:spacing w:after="0" w:line="240" w:lineRule="auto"/>
        <w:ind w:left="0"/>
      </w:pPr>
    </w:p>
    <w:p w:rsidR="003F66B9" w:rsidRDefault="003F66B9" w:rsidP="003F66B9">
      <w:pPr>
        <w:pStyle w:val="Listaszerbekezds"/>
        <w:numPr>
          <w:ilvl w:val="0"/>
          <w:numId w:val="5"/>
        </w:numPr>
        <w:tabs>
          <w:tab w:val="left" w:pos="2127"/>
        </w:tabs>
        <w:spacing w:after="0" w:line="240" w:lineRule="auto"/>
        <w:ind w:left="709"/>
      </w:pPr>
      <w:r>
        <w:t xml:space="preserve">feszültségfüggő </w:t>
      </w:r>
      <w:proofErr w:type="spellStart"/>
      <w:r>
        <w:t>NA-csatornák</w:t>
      </w:r>
      <w:proofErr w:type="spellEnd"/>
      <w:r>
        <w:t xml:space="preserve"> gátlása</w:t>
      </w:r>
    </w:p>
    <w:p w:rsidR="003F66B9" w:rsidRDefault="003F66B9" w:rsidP="003F66B9">
      <w:pPr>
        <w:pStyle w:val="Listaszerbekezds"/>
        <w:numPr>
          <w:ilvl w:val="0"/>
          <w:numId w:val="5"/>
        </w:numPr>
        <w:tabs>
          <w:tab w:val="left" w:pos="2127"/>
        </w:tabs>
        <w:spacing w:after="0" w:line="240" w:lineRule="auto"/>
        <w:ind w:left="709"/>
      </w:pPr>
      <w:r>
        <w:t>nagy frekvenciás aktivitás csökken</w:t>
      </w:r>
    </w:p>
    <w:p w:rsidR="003F66B9" w:rsidRDefault="003F66B9" w:rsidP="003F66B9">
      <w:pPr>
        <w:pStyle w:val="Listaszerbekezds"/>
        <w:numPr>
          <w:ilvl w:val="0"/>
          <w:numId w:val="5"/>
        </w:numPr>
        <w:tabs>
          <w:tab w:val="left" w:pos="2127"/>
        </w:tabs>
        <w:spacing w:after="0" w:line="240" w:lineRule="auto"/>
        <w:ind w:left="709"/>
      </w:pPr>
      <w:r>
        <w:t>normális neuron aktivitásra nem hat</w:t>
      </w:r>
    </w:p>
    <w:p w:rsidR="003F66B9" w:rsidRDefault="003F66B9" w:rsidP="003F66B9">
      <w:pPr>
        <w:pStyle w:val="Listaszerbekezds"/>
        <w:numPr>
          <w:ilvl w:val="0"/>
          <w:numId w:val="5"/>
        </w:numPr>
        <w:tabs>
          <w:tab w:val="left" w:pos="2127"/>
        </w:tabs>
        <w:spacing w:after="0" w:line="240" w:lineRule="auto"/>
        <w:ind w:left="709"/>
      </w:pPr>
      <w:proofErr w:type="spellStart"/>
      <w:r>
        <w:t>absence</w:t>
      </w:r>
      <w:proofErr w:type="spellEnd"/>
      <w:r>
        <w:t xml:space="preserve"> roham kivételével minden fajtára jó</w:t>
      </w:r>
    </w:p>
    <w:p w:rsidR="003F66B9" w:rsidRDefault="003F66B9" w:rsidP="003F66B9">
      <w:pPr>
        <w:pStyle w:val="Listaszerbekezds"/>
        <w:numPr>
          <w:ilvl w:val="0"/>
          <w:numId w:val="5"/>
        </w:numPr>
        <w:tabs>
          <w:tab w:val="left" w:pos="2127"/>
        </w:tabs>
        <w:spacing w:after="0" w:line="240" w:lineRule="auto"/>
        <w:ind w:left="709"/>
      </w:pPr>
      <w:r>
        <w:t xml:space="preserve">hátránya: fokozza a </w:t>
      </w:r>
      <w:proofErr w:type="spellStart"/>
      <w:r>
        <w:t>citokróm</w:t>
      </w:r>
      <w:proofErr w:type="spellEnd"/>
      <w:r>
        <w:t xml:space="preserve"> P-450 aktivitását - gyógyszer interakció</w:t>
      </w:r>
    </w:p>
    <w:p w:rsidR="003F66B9" w:rsidRDefault="003F66B9" w:rsidP="003F66B9">
      <w:pPr>
        <w:pStyle w:val="Listaszerbekezds"/>
        <w:tabs>
          <w:tab w:val="left" w:pos="2127"/>
        </w:tabs>
        <w:spacing w:after="0" w:line="240" w:lineRule="auto"/>
        <w:ind w:left="1560"/>
      </w:pPr>
      <w:r>
        <w:t xml:space="preserve"> könnyen toxikus dózistartományba lehet vele lépni - ajánlott a gyakori szérumszint mérése</w:t>
      </w:r>
    </w:p>
    <w:p w:rsidR="003F66B9" w:rsidRDefault="003F66B9" w:rsidP="003F66B9">
      <w:pPr>
        <w:pStyle w:val="Listaszerbekezds"/>
        <w:numPr>
          <w:ilvl w:val="0"/>
          <w:numId w:val="6"/>
        </w:numPr>
        <w:tabs>
          <w:tab w:val="left" w:pos="2127"/>
        </w:tabs>
        <w:spacing w:after="0" w:line="240" w:lineRule="auto"/>
        <w:ind w:left="709"/>
      </w:pPr>
      <w:r>
        <w:t xml:space="preserve">MH: kettős látás, </w:t>
      </w:r>
      <w:proofErr w:type="spellStart"/>
      <w:r>
        <w:t>ataxia</w:t>
      </w:r>
      <w:proofErr w:type="spellEnd"/>
      <w:r>
        <w:t xml:space="preserve">, szájnyálkahártya </w:t>
      </w:r>
      <w:proofErr w:type="spellStart"/>
      <w:r>
        <w:t>hyperplasia</w:t>
      </w:r>
      <w:proofErr w:type="spellEnd"/>
      <w:r>
        <w:t xml:space="preserve"> - gyakori öblögetéssel  lehet ellensúlyozni, </w:t>
      </w:r>
      <w:proofErr w:type="spellStart"/>
      <w:r>
        <w:t>csontvelőkárosodás</w:t>
      </w:r>
      <w:proofErr w:type="spellEnd"/>
      <w:r>
        <w:t>, folsav hiány (</w:t>
      </w:r>
      <w:proofErr w:type="spellStart"/>
      <w:r>
        <w:t>megaloblasztos</w:t>
      </w:r>
      <w:proofErr w:type="spellEnd"/>
      <w:r>
        <w:t xml:space="preserve"> </w:t>
      </w:r>
      <w:proofErr w:type="spellStart"/>
      <w:r>
        <w:t>anaemia</w:t>
      </w:r>
      <w:proofErr w:type="spellEnd"/>
      <w:r>
        <w:t>), magzatkárosodás (</w:t>
      </w:r>
      <w:proofErr w:type="spellStart"/>
      <w:r>
        <w:t>szájpadhasadék</w:t>
      </w:r>
      <w:proofErr w:type="spellEnd"/>
      <w:r>
        <w:t>)</w:t>
      </w:r>
    </w:p>
    <w:p w:rsidR="003F66B9" w:rsidRDefault="003F66B9" w:rsidP="003F66B9">
      <w:pPr>
        <w:pStyle w:val="Listaszerbekezds"/>
        <w:numPr>
          <w:ilvl w:val="0"/>
          <w:numId w:val="6"/>
        </w:numPr>
        <w:tabs>
          <w:tab w:val="left" w:pos="2127"/>
        </w:tabs>
        <w:spacing w:after="0" w:line="240" w:lineRule="auto"/>
        <w:ind w:left="709"/>
      </w:pPr>
      <w:r>
        <w:t>elsősorban akut esetekben</w:t>
      </w:r>
    </w:p>
    <w:p w:rsidR="003F66B9" w:rsidRDefault="003F66B9" w:rsidP="003F66B9">
      <w:pPr>
        <w:tabs>
          <w:tab w:val="left" w:pos="2127"/>
        </w:tabs>
        <w:spacing w:after="0" w:line="240" w:lineRule="auto"/>
      </w:pPr>
    </w:p>
    <w:p w:rsidR="003F66B9" w:rsidRDefault="003F66B9" w:rsidP="003F66B9">
      <w:pPr>
        <w:tabs>
          <w:tab w:val="left" w:pos="2127"/>
        </w:tabs>
        <w:spacing w:after="0" w:line="240" w:lineRule="auto"/>
      </w:pPr>
      <w:r w:rsidRPr="00311CA1">
        <w:rPr>
          <w:b/>
        </w:rPr>
        <w:t>2</w:t>
      </w:r>
      <w:r>
        <w:t xml:space="preserve">. </w:t>
      </w:r>
      <w:proofErr w:type="spellStart"/>
      <w:r>
        <w:t>carbamazepin</w:t>
      </w:r>
      <w:proofErr w:type="spellEnd"/>
      <w:r>
        <w:tab/>
        <w:t>TEGRETOL</w:t>
      </w:r>
    </w:p>
    <w:p w:rsidR="003F66B9" w:rsidRDefault="003F66B9" w:rsidP="003F66B9">
      <w:pPr>
        <w:tabs>
          <w:tab w:val="left" w:pos="2127"/>
        </w:tabs>
        <w:spacing w:after="0" w:line="240" w:lineRule="auto"/>
      </w:pPr>
    </w:p>
    <w:p w:rsidR="003F66B9" w:rsidRDefault="003F66B9" w:rsidP="003F66B9">
      <w:pPr>
        <w:pStyle w:val="Listaszerbekezds"/>
        <w:numPr>
          <w:ilvl w:val="0"/>
          <w:numId w:val="8"/>
        </w:numPr>
        <w:tabs>
          <w:tab w:val="left" w:pos="2127"/>
        </w:tabs>
        <w:spacing w:after="0" w:line="240" w:lineRule="auto"/>
        <w:ind w:left="709"/>
      </w:pPr>
      <w:r>
        <w:t>normális aktivitást is befolyásolja - nyugtató hatás</w:t>
      </w:r>
    </w:p>
    <w:p w:rsidR="003F66B9" w:rsidRDefault="003F66B9" w:rsidP="003F66B9">
      <w:pPr>
        <w:pStyle w:val="Listaszerbekezds"/>
        <w:numPr>
          <w:ilvl w:val="0"/>
          <w:numId w:val="8"/>
        </w:numPr>
        <w:tabs>
          <w:tab w:val="left" w:pos="2127"/>
        </w:tabs>
        <w:spacing w:after="0" w:line="240" w:lineRule="auto"/>
        <w:ind w:left="709"/>
      </w:pPr>
      <w:r>
        <w:t>enziminduktor</w:t>
      </w:r>
    </w:p>
    <w:p w:rsidR="003F66B9" w:rsidRDefault="003F66B9" w:rsidP="003F66B9">
      <w:pPr>
        <w:pStyle w:val="Listaszerbekezds"/>
        <w:numPr>
          <w:ilvl w:val="0"/>
          <w:numId w:val="8"/>
        </w:numPr>
        <w:tabs>
          <w:tab w:val="left" w:pos="2127"/>
        </w:tabs>
        <w:spacing w:after="0" w:line="240" w:lineRule="auto"/>
        <w:ind w:left="709"/>
      </w:pPr>
      <w:r>
        <w:t>MH: látászavar, szédülés</w:t>
      </w:r>
    </w:p>
    <w:p w:rsidR="003F66B9" w:rsidRDefault="003F66B9" w:rsidP="003F66B9">
      <w:pPr>
        <w:pStyle w:val="Listaszerbekezds"/>
        <w:numPr>
          <w:ilvl w:val="0"/>
          <w:numId w:val="8"/>
        </w:numPr>
        <w:tabs>
          <w:tab w:val="left" w:pos="2127"/>
        </w:tabs>
        <w:spacing w:after="0" w:line="240" w:lineRule="auto"/>
        <w:ind w:left="709"/>
      </w:pPr>
      <w:r>
        <w:t>magzatkárosodás (</w:t>
      </w:r>
      <w:proofErr w:type="spellStart"/>
      <w:r>
        <w:t>velőcsőzáródási</w:t>
      </w:r>
      <w:proofErr w:type="spellEnd"/>
      <w:r>
        <w:t xml:space="preserve"> rendellenesség - </w:t>
      </w:r>
      <w:proofErr w:type="spellStart"/>
      <w:r>
        <w:t>spina</w:t>
      </w:r>
      <w:proofErr w:type="spellEnd"/>
      <w:r>
        <w:t xml:space="preserve"> </w:t>
      </w:r>
      <w:proofErr w:type="spellStart"/>
      <w:r>
        <w:t>bifida</w:t>
      </w:r>
      <w:proofErr w:type="spellEnd"/>
      <w:r>
        <w:t>)</w:t>
      </w:r>
    </w:p>
    <w:p w:rsidR="003F66B9" w:rsidRDefault="005639BF" w:rsidP="003F66B9">
      <w:pPr>
        <w:pStyle w:val="Listaszerbekezds"/>
        <w:tabs>
          <w:tab w:val="left" w:pos="2127"/>
        </w:tabs>
        <w:spacing w:after="0" w:line="240" w:lineRule="auto"/>
        <w:ind w:left="0"/>
      </w:pPr>
      <w:r>
        <w:lastRenderedPageBreak/>
        <w:t xml:space="preserve">3. </w:t>
      </w:r>
      <w:proofErr w:type="spellStart"/>
      <w:r>
        <w:t>valproinsav</w:t>
      </w:r>
      <w:proofErr w:type="spellEnd"/>
      <w:r>
        <w:tab/>
        <w:t>CONVOLEX</w:t>
      </w:r>
    </w:p>
    <w:p w:rsidR="005639BF" w:rsidRDefault="005639BF" w:rsidP="003F66B9">
      <w:pPr>
        <w:pStyle w:val="Listaszerbekezds"/>
        <w:tabs>
          <w:tab w:val="left" w:pos="2127"/>
        </w:tabs>
        <w:spacing w:after="0" w:line="240" w:lineRule="auto"/>
        <w:ind w:left="0"/>
      </w:pPr>
    </w:p>
    <w:p w:rsidR="005639BF" w:rsidRDefault="005639BF" w:rsidP="005639BF">
      <w:pPr>
        <w:pStyle w:val="Listaszerbekezds"/>
        <w:numPr>
          <w:ilvl w:val="0"/>
          <w:numId w:val="9"/>
        </w:numPr>
        <w:tabs>
          <w:tab w:val="left" w:pos="2127"/>
        </w:tabs>
        <w:spacing w:after="0" w:line="240" w:lineRule="auto"/>
        <w:ind w:left="709"/>
      </w:pPr>
      <w:r>
        <w:t>Na-csatornák mellett a GABA enzim gátlását serkenti</w:t>
      </w:r>
    </w:p>
    <w:p w:rsidR="005639BF" w:rsidRDefault="005639BF" w:rsidP="005639BF">
      <w:pPr>
        <w:pStyle w:val="Listaszerbekezds"/>
        <w:numPr>
          <w:ilvl w:val="0"/>
          <w:numId w:val="9"/>
        </w:numPr>
        <w:tabs>
          <w:tab w:val="left" w:pos="2127"/>
        </w:tabs>
        <w:spacing w:after="0" w:line="240" w:lineRule="auto"/>
        <w:ind w:left="709"/>
      </w:pPr>
      <w:r>
        <w:t>MH: súlygyarapodás, emésztési zavarok</w:t>
      </w:r>
    </w:p>
    <w:p w:rsidR="005639BF" w:rsidRDefault="005639BF" w:rsidP="005639BF">
      <w:pPr>
        <w:pStyle w:val="Listaszerbekezds"/>
        <w:numPr>
          <w:ilvl w:val="0"/>
          <w:numId w:val="9"/>
        </w:numPr>
        <w:tabs>
          <w:tab w:val="left" w:pos="2127"/>
        </w:tabs>
        <w:spacing w:after="0" w:line="240" w:lineRule="auto"/>
        <w:ind w:left="709"/>
      </w:pPr>
      <w:r>
        <w:t xml:space="preserve">magzatkárosodás: </w:t>
      </w:r>
      <w:proofErr w:type="spellStart"/>
      <w:r>
        <w:t>spina</w:t>
      </w:r>
      <w:proofErr w:type="spellEnd"/>
      <w:r>
        <w:t xml:space="preserve"> </w:t>
      </w:r>
      <w:proofErr w:type="spellStart"/>
      <w:r>
        <w:t>bifida</w:t>
      </w:r>
      <w:proofErr w:type="spellEnd"/>
    </w:p>
    <w:p w:rsidR="005639BF" w:rsidRDefault="005639BF" w:rsidP="005639BF">
      <w:pPr>
        <w:pStyle w:val="Listaszerbekezds"/>
        <w:tabs>
          <w:tab w:val="left" w:pos="2127"/>
        </w:tabs>
        <w:spacing w:after="0" w:line="240" w:lineRule="auto"/>
        <w:ind w:left="709"/>
      </w:pPr>
    </w:p>
    <w:p w:rsidR="005639BF" w:rsidRPr="00311CA1" w:rsidRDefault="005639BF" w:rsidP="005639BF">
      <w:pPr>
        <w:pStyle w:val="Listaszerbekezds"/>
        <w:tabs>
          <w:tab w:val="left" w:pos="2127"/>
        </w:tabs>
        <w:spacing w:after="0" w:line="240" w:lineRule="auto"/>
        <w:ind w:left="0"/>
        <w:rPr>
          <w:b/>
        </w:rPr>
      </w:pPr>
      <w:r w:rsidRPr="00311CA1">
        <w:rPr>
          <w:b/>
        </w:rPr>
        <w:t>Egyéb szerek:</w:t>
      </w:r>
    </w:p>
    <w:p w:rsidR="005639BF" w:rsidRDefault="005639BF" w:rsidP="005639BF">
      <w:pPr>
        <w:pStyle w:val="Listaszerbekezds"/>
        <w:tabs>
          <w:tab w:val="left" w:pos="2127"/>
        </w:tabs>
        <w:spacing w:after="0" w:line="240" w:lineRule="auto"/>
        <w:ind w:left="0"/>
      </w:pPr>
    </w:p>
    <w:p w:rsidR="005639BF" w:rsidRDefault="005639BF" w:rsidP="005639BF">
      <w:pPr>
        <w:pStyle w:val="Listaszerbekezds"/>
        <w:tabs>
          <w:tab w:val="left" w:pos="2127"/>
        </w:tabs>
        <w:spacing w:after="0" w:line="240" w:lineRule="auto"/>
        <w:ind w:left="284"/>
      </w:pPr>
      <w:proofErr w:type="spellStart"/>
      <w:r>
        <w:t>ethosuximide</w:t>
      </w:r>
      <w:proofErr w:type="spellEnd"/>
      <w:r>
        <w:tab/>
        <w:t>PETUIDAN</w:t>
      </w:r>
    </w:p>
    <w:p w:rsidR="005639BF" w:rsidRDefault="005639BF" w:rsidP="005639BF">
      <w:pPr>
        <w:pStyle w:val="Listaszerbekezds"/>
        <w:numPr>
          <w:ilvl w:val="0"/>
          <w:numId w:val="10"/>
        </w:numPr>
        <w:tabs>
          <w:tab w:val="left" w:pos="2127"/>
        </w:tabs>
        <w:spacing w:after="0" w:line="240" w:lineRule="auto"/>
        <w:ind w:left="993"/>
      </w:pPr>
      <w:r>
        <w:t>kis rohamra</w:t>
      </w:r>
    </w:p>
    <w:p w:rsidR="005639BF" w:rsidRDefault="005639BF" w:rsidP="005639BF">
      <w:pPr>
        <w:pStyle w:val="Listaszerbekezds"/>
        <w:numPr>
          <w:ilvl w:val="0"/>
          <w:numId w:val="10"/>
        </w:numPr>
        <w:tabs>
          <w:tab w:val="left" w:pos="2127"/>
        </w:tabs>
        <w:spacing w:after="0" w:line="240" w:lineRule="auto"/>
        <w:ind w:left="993"/>
      </w:pPr>
      <w:r>
        <w:t>MH: hányás</w:t>
      </w:r>
    </w:p>
    <w:p w:rsidR="005639BF" w:rsidRDefault="005639BF" w:rsidP="005639BF">
      <w:pPr>
        <w:pStyle w:val="Listaszerbekezds"/>
        <w:numPr>
          <w:ilvl w:val="0"/>
          <w:numId w:val="10"/>
        </w:numPr>
        <w:tabs>
          <w:tab w:val="left" w:pos="2127"/>
        </w:tabs>
        <w:spacing w:after="0" w:line="240" w:lineRule="auto"/>
        <w:ind w:left="993"/>
      </w:pPr>
      <w:proofErr w:type="spellStart"/>
      <w:r>
        <w:t>fehérvérsejtszám</w:t>
      </w:r>
      <w:proofErr w:type="spellEnd"/>
      <w:r>
        <w:t xml:space="preserve"> csökkenés</w:t>
      </w:r>
    </w:p>
    <w:p w:rsidR="005639BF" w:rsidRDefault="005639BF" w:rsidP="005639BF">
      <w:pPr>
        <w:pStyle w:val="Listaszerbekezds"/>
        <w:tabs>
          <w:tab w:val="left" w:pos="2127"/>
        </w:tabs>
        <w:spacing w:after="0" w:line="240" w:lineRule="auto"/>
        <w:ind w:left="993"/>
      </w:pPr>
    </w:p>
    <w:p w:rsidR="005639BF" w:rsidRDefault="005639BF" w:rsidP="005639BF">
      <w:pPr>
        <w:pStyle w:val="Listaszerbekezds"/>
        <w:tabs>
          <w:tab w:val="left" w:pos="2127"/>
        </w:tabs>
        <w:spacing w:after="0" w:line="240" w:lineRule="auto"/>
        <w:ind w:left="284"/>
      </w:pPr>
      <w:proofErr w:type="spellStart"/>
      <w:r>
        <w:t>clonazepam</w:t>
      </w:r>
      <w:proofErr w:type="spellEnd"/>
      <w:r>
        <w:tab/>
        <w:t>RIVOTRIL</w:t>
      </w:r>
    </w:p>
    <w:p w:rsidR="005639BF" w:rsidRDefault="005639BF" w:rsidP="005639BF">
      <w:pPr>
        <w:pStyle w:val="Listaszerbekezds"/>
        <w:numPr>
          <w:ilvl w:val="0"/>
          <w:numId w:val="11"/>
        </w:numPr>
        <w:tabs>
          <w:tab w:val="left" w:pos="2127"/>
        </w:tabs>
        <w:spacing w:after="0" w:line="240" w:lineRule="auto"/>
        <w:ind w:left="993"/>
      </w:pPr>
      <w:r>
        <w:t>GABA gátló hatását erősíti</w:t>
      </w:r>
    </w:p>
    <w:p w:rsidR="005639BF" w:rsidRDefault="005639BF" w:rsidP="005639BF">
      <w:pPr>
        <w:pStyle w:val="Listaszerbekezds"/>
        <w:numPr>
          <w:ilvl w:val="0"/>
          <w:numId w:val="11"/>
        </w:numPr>
        <w:tabs>
          <w:tab w:val="left" w:pos="2127"/>
        </w:tabs>
        <w:spacing w:after="0" w:line="240" w:lineRule="auto"/>
        <w:ind w:left="993"/>
      </w:pPr>
      <w:r>
        <w:t>nyugtató hatás</w:t>
      </w:r>
    </w:p>
    <w:p w:rsidR="005639BF" w:rsidRDefault="005639BF" w:rsidP="005639BF">
      <w:pPr>
        <w:pStyle w:val="Listaszerbekezds"/>
        <w:numPr>
          <w:ilvl w:val="0"/>
          <w:numId w:val="11"/>
        </w:numPr>
        <w:tabs>
          <w:tab w:val="left" w:pos="2127"/>
        </w:tabs>
        <w:spacing w:after="0" w:line="240" w:lineRule="auto"/>
        <w:ind w:left="993"/>
      </w:pPr>
      <w:r>
        <w:t>hosszú idő után tolerancia alakul ki a hatásával szemben</w:t>
      </w:r>
    </w:p>
    <w:p w:rsidR="005639BF" w:rsidRDefault="005639BF" w:rsidP="005639BF">
      <w:pPr>
        <w:pStyle w:val="Listaszerbekezds"/>
        <w:tabs>
          <w:tab w:val="left" w:pos="2127"/>
        </w:tabs>
        <w:spacing w:after="0" w:line="240" w:lineRule="auto"/>
        <w:ind w:left="993"/>
      </w:pPr>
    </w:p>
    <w:p w:rsidR="005639BF" w:rsidRDefault="005639BF" w:rsidP="005639BF">
      <w:pPr>
        <w:pStyle w:val="Listaszerbekezds"/>
        <w:tabs>
          <w:tab w:val="left" w:pos="2127"/>
        </w:tabs>
        <w:spacing w:after="0" w:line="240" w:lineRule="auto"/>
        <w:ind w:left="284"/>
      </w:pPr>
      <w:proofErr w:type="spellStart"/>
      <w:r>
        <w:t>bigabatrin</w:t>
      </w:r>
      <w:proofErr w:type="spellEnd"/>
      <w:r>
        <w:tab/>
        <w:t>SABRIL</w:t>
      </w:r>
    </w:p>
    <w:p w:rsidR="005639BF" w:rsidRDefault="005639BF" w:rsidP="005639BF">
      <w:pPr>
        <w:pStyle w:val="Listaszerbekezds"/>
        <w:numPr>
          <w:ilvl w:val="0"/>
          <w:numId w:val="12"/>
        </w:numPr>
        <w:tabs>
          <w:tab w:val="left" w:pos="2127"/>
        </w:tabs>
        <w:spacing w:after="0" w:line="240" w:lineRule="auto"/>
        <w:ind w:left="993"/>
      </w:pPr>
      <w:r>
        <w:t>GABA hatását erősíti</w:t>
      </w:r>
    </w:p>
    <w:p w:rsidR="005639BF" w:rsidRDefault="005639BF" w:rsidP="005639BF">
      <w:pPr>
        <w:pStyle w:val="Listaszerbekezds"/>
        <w:numPr>
          <w:ilvl w:val="0"/>
          <w:numId w:val="12"/>
        </w:numPr>
        <w:tabs>
          <w:tab w:val="left" w:pos="2127"/>
        </w:tabs>
        <w:spacing w:after="0" w:line="240" w:lineRule="auto"/>
        <w:ind w:left="993"/>
      </w:pPr>
      <w:r>
        <w:t xml:space="preserve">főleg a </w:t>
      </w:r>
      <w:proofErr w:type="spellStart"/>
      <w:r>
        <w:t>fokalis</w:t>
      </w:r>
      <w:proofErr w:type="spellEnd"/>
      <w:r>
        <w:t xml:space="preserve"> rohamok kezelésére</w:t>
      </w:r>
    </w:p>
    <w:p w:rsidR="005639BF" w:rsidRDefault="005639BF" w:rsidP="005639BF">
      <w:pPr>
        <w:pStyle w:val="Listaszerbekezds"/>
        <w:numPr>
          <w:ilvl w:val="0"/>
          <w:numId w:val="12"/>
        </w:numPr>
        <w:tabs>
          <w:tab w:val="left" w:pos="2127"/>
        </w:tabs>
        <w:spacing w:after="0" w:line="240" w:lineRule="auto"/>
        <w:ind w:left="993"/>
      </w:pPr>
      <w:r>
        <w:t>máj enzimek aktivitását csökkenti</w:t>
      </w:r>
    </w:p>
    <w:p w:rsidR="00CE3685" w:rsidRDefault="00CE3685" w:rsidP="00CE3685">
      <w:pPr>
        <w:pStyle w:val="Listaszerbekezds"/>
        <w:tabs>
          <w:tab w:val="left" w:pos="2127"/>
        </w:tabs>
        <w:spacing w:after="0" w:line="240" w:lineRule="auto"/>
        <w:ind w:left="993"/>
      </w:pPr>
    </w:p>
    <w:p w:rsidR="00CE3685" w:rsidRDefault="00CE3685" w:rsidP="00CE3685">
      <w:pPr>
        <w:pStyle w:val="Listaszerbekezds"/>
        <w:tabs>
          <w:tab w:val="left" w:pos="2127"/>
        </w:tabs>
        <w:spacing w:after="0" w:line="240" w:lineRule="auto"/>
        <w:ind w:left="284"/>
      </w:pPr>
      <w:proofErr w:type="spellStart"/>
      <w:r>
        <w:t>lamotrigin</w:t>
      </w:r>
      <w:proofErr w:type="spellEnd"/>
      <w:r>
        <w:tab/>
        <w:t>LAMITOIN</w:t>
      </w:r>
    </w:p>
    <w:p w:rsidR="00CE3685" w:rsidRDefault="00CE3685" w:rsidP="00CE3685">
      <w:pPr>
        <w:pStyle w:val="Listaszerbekezds"/>
        <w:numPr>
          <w:ilvl w:val="0"/>
          <w:numId w:val="13"/>
        </w:numPr>
        <w:tabs>
          <w:tab w:val="left" w:pos="2127"/>
        </w:tabs>
        <w:spacing w:after="0" w:line="240" w:lineRule="auto"/>
        <w:ind w:left="993"/>
      </w:pPr>
      <w:r>
        <w:t>Na- csatornák blokkolása</w:t>
      </w:r>
    </w:p>
    <w:p w:rsidR="00CE3685" w:rsidRDefault="00CE3685" w:rsidP="00CE3685">
      <w:pPr>
        <w:pStyle w:val="Listaszerbekezds"/>
        <w:numPr>
          <w:ilvl w:val="0"/>
          <w:numId w:val="13"/>
        </w:numPr>
        <w:tabs>
          <w:tab w:val="left" w:pos="2127"/>
        </w:tabs>
        <w:spacing w:after="0" w:line="240" w:lineRule="auto"/>
        <w:ind w:left="993"/>
      </w:pPr>
      <w:r>
        <w:t xml:space="preserve">hatásában </w:t>
      </w:r>
      <w:proofErr w:type="spellStart"/>
      <w:r>
        <w:t>glutamát</w:t>
      </w:r>
      <w:proofErr w:type="spellEnd"/>
      <w:r>
        <w:t xml:space="preserve"> felszabadulás gátlása</w:t>
      </w:r>
    </w:p>
    <w:p w:rsidR="00CE3685" w:rsidRDefault="00CE3685" w:rsidP="00CE3685">
      <w:pPr>
        <w:pStyle w:val="Listaszerbekezds"/>
        <w:numPr>
          <w:ilvl w:val="0"/>
          <w:numId w:val="13"/>
        </w:numPr>
        <w:tabs>
          <w:tab w:val="left" w:pos="2127"/>
        </w:tabs>
        <w:spacing w:after="0" w:line="240" w:lineRule="auto"/>
        <w:ind w:left="993"/>
      </w:pPr>
      <w:r>
        <w:t>MH: látászavar, kiütés</w:t>
      </w:r>
    </w:p>
    <w:p w:rsidR="00CE3685" w:rsidRDefault="00CE3685" w:rsidP="00CE3685">
      <w:pPr>
        <w:pStyle w:val="Listaszerbekezds"/>
        <w:tabs>
          <w:tab w:val="left" w:pos="2127"/>
        </w:tabs>
        <w:spacing w:after="0" w:line="240" w:lineRule="auto"/>
        <w:ind w:left="993"/>
      </w:pPr>
    </w:p>
    <w:p w:rsidR="00CE3685" w:rsidRDefault="00CE3685" w:rsidP="00CE3685">
      <w:pPr>
        <w:pStyle w:val="Listaszerbekezds"/>
        <w:tabs>
          <w:tab w:val="left" w:pos="2127"/>
        </w:tabs>
        <w:spacing w:after="0" w:line="240" w:lineRule="auto"/>
        <w:ind w:left="284"/>
      </w:pPr>
      <w:proofErr w:type="spellStart"/>
      <w:r>
        <w:t>felbatan</w:t>
      </w:r>
      <w:proofErr w:type="spellEnd"/>
      <w:r>
        <w:tab/>
        <w:t>TALOXA</w:t>
      </w:r>
    </w:p>
    <w:p w:rsidR="00CE3685" w:rsidRDefault="00CE3685" w:rsidP="00CE3685">
      <w:pPr>
        <w:pStyle w:val="Listaszerbekezds"/>
        <w:numPr>
          <w:ilvl w:val="0"/>
          <w:numId w:val="14"/>
        </w:numPr>
        <w:tabs>
          <w:tab w:val="left" w:pos="2127"/>
        </w:tabs>
        <w:spacing w:after="0" w:line="240" w:lineRule="auto"/>
        <w:ind w:left="993"/>
      </w:pPr>
      <w:proofErr w:type="spellStart"/>
      <w:r>
        <w:t>glutamát</w:t>
      </w:r>
      <w:proofErr w:type="spellEnd"/>
      <w:r>
        <w:t xml:space="preserve"> felszabadulás gátlása</w:t>
      </w:r>
    </w:p>
    <w:p w:rsidR="00CE3685" w:rsidRDefault="00CE3685" w:rsidP="00CE3685">
      <w:pPr>
        <w:pStyle w:val="Listaszerbekezds"/>
        <w:numPr>
          <w:ilvl w:val="0"/>
          <w:numId w:val="14"/>
        </w:numPr>
        <w:tabs>
          <w:tab w:val="left" w:pos="2127"/>
        </w:tabs>
        <w:spacing w:after="0" w:line="240" w:lineRule="auto"/>
        <w:ind w:left="993"/>
      </w:pPr>
      <w:r>
        <w:t>minden formában alkalmas</w:t>
      </w:r>
    </w:p>
    <w:p w:rsidR="00CE3685" w:rsidRDefault="00CE3685" w:rsidP="00CE3685">
      <w:pPr>
        <w:pStyle w:val="Listaszerbekezds"/>
        <w:numPr>
          <w:ilvl w:val="0"/>
          <w:numId w:val="14"/>
        </w:numPr>
        <w:tabs>
          <w:tab w:val="left" w:pos="2127"/>
        </w:tabs>
        <w:spacing w:after="0" w:line="240" w:lineRule="auto"/>
        <w:ind w:left="993"/>
      </w:pPr>
      <w:r>
        <w:t>néha vérképzési zavarokat okoz</w:t>
      </w:r>
    </w:p>
    <w:p w:rsidR="00EA5396" w:rsidRDefault="00EA5396" w:rsidP="00EA5396">
      <w:pPr>
        <w:pStyle w:val="Listaszerbekezds"/>
        <w:tabs>
          <w:tab w:val="left" w:pos="2127"/>
        </w:tabs>
        <w:spacing w:after="0" w:line="240" w:lineRule="auto"/>
        <w:ind w:left="993"/>
      </w:pPr>
    </w:p>
    <w:p w:rsidR="00EA5396" w:rsidRDefault="00EA5396" w:rsidP="00EA5396">
      <w:pPr>
        <w:pStyle w:val="Listaszerbekezds"/>
        <w:tabs>
          <w:tab w:val="left" w:pos="2127"/>
        </w:tabs>
        <w:spacing w:after="0" w:line="240" w:lineRule="auto"/>
        <w:ind w:left="284"/>
      </w:pPr>
      <w:proofErr w:type="spellStart"/>
      <w:r>
        <w:t>diazepam</w:t>
      </w:r>
      <w:proofErr w:type="spellEnd"/>
      <w:r>
        <w:tab/>
        <w:t xml:space="preserve">SEDUXEN </w:t>
      </w:r>
      <w:proofErr w:type="spellStart"/>
      <w:r>
        <w:t>inj</w:t>
      </w:r>
      <w:proofErr w:type="spellEnd"/>
      <w:r>
        <w:t>.</w:t>
      </w:r>
    </w:p>
    <w:p w:rsidR="00EA5396" w:rsidRDefault="00EA5396" w:rsidP="00EA5396">
      <w:pPr>
        <w:pStyle w:val="Listaszerbekezds"/>
        <w:numPr>
          <w:ilvl w:val="0"/>
          <w:numId w:val="15"/>
        </w:numPr>
        <w:tabs>
          <w:tab w:val="left" w:pos="2127"/>
        </w:tabs>
        <w:spacing w:after="0" w:line="240" w:lineRule="auto"/>
        <w:ind w:left="993"/>
      </w:pPr>
      <w:r>
        <w:t>nagy rohamokra (csak rohamoldásra alkalmas)</w:t>
      </w:r>
    </w:p>
    <w:p w:rsidR="00EA5396" w:rsidRDefault="00EA5396" w:rsidP="00EA5396">
      <w:pPr>
        <w:pStyle w:val="Listaszerbekezds"/>
        <w:numPr>
          <w:ilvl w:val="0"/>
          <w:numId w:val="15"/>
        </w:numPr>
        <w:tabs>
          <w:tab w:val="left" w:pos="2127"/>
        </w:tabs>
        <w:spacing w:after="0" w:line="240" w:lineRule="auto"/>
        <w:ind w:left="993"/>
      </w:pPr>
      <w:r>
        <w:t>gyors hatás</w:t>
      </w:r>
    </w:p>
    <w:p w:rsidR="00EA5396" w:rsidRDefault="00EA5396" w:rsidP="00EA5396">
      <w:pPr>
        <w:pStyle w:val="Listaszerbekezds"/>
        <w:numPr>
          <w:ilvl w:val="0"/>
          <w:numId w:val="15"/>
        </w:numPr>
        <w:tabs>
          <w:tab w:val="left" w:pos="2127"/>
        </w:tabs>
        <w:spacing w:after="0" w:line="240" w:lineRule="auto"/>
        <w:ind w:left="993"/>
      </w:pPr>
      <w:r>
        <w:t>gyorsabban kikerül a véráramból - ha kell, 15-20 percenként is adható</w:t>
      </w:r>
    </w:p>
    <w:p w:rsidR="000B321A" w:rsidRDefault="000B321A" w:rsidP="000B321A">
      <w:pPr>
        <w:spacing w:line="240" w:lineRule="auto"/>
      </w:pPr>
    </w:p>
    <w:p w:rsidR="000B321A" w:rsidRPr="000B321A" w:rsidRDefault="000B321A" w:rsidP="000B321A">
      <w:pPr>
        <w:spacing w:line="240" w:lineRule="auto"/>
      </w:pPr>
    </w:p>
    <w:sectPr w:rsidR="000B321A" w:rsidRPr="000B321A" w:rsidSect="002934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47E55"/>
    <w:multiLevelType w:val="hybridMultilevel"/>
    <w:tmpl w:val="CA5EF4EE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D52FF"/>
    <w:multiLevelType w:val="hybridMultilevel"/>
    <w:tmpl w:val="7F8C99A0"/>
    <w:lvl w:ilvl="0" w:tplc="040E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72516F5"/>
    <w:multiLevelType w:val="hybridMultilevel"/>
    <w:tmpl w:val="C0C4D49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928EB"/>
    <w:multiLevelType w:val="hybridMultilevel"/>
    <w:tmpl w:val="FAB6D132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986513"/>
    <w:multiLevelType w:val="hybridMultilevel"/>
    <w:tmpl w:val="B468AB68"/>
    <w:lvl w:ilvl="0" w:tplc="040E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E1A111E"/>
    <w:multiLevelType w:val="hybridMultilevel"/>
    <w:tmpl w:val="B538A992"/>
    <w:lvl w:ilvl="0" w:tplc="040E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5ED369B"/>
    <w:multiLevelType w:val="hybridMultilevel"/>
    <w:tmpl w:val="2D707C14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802226"/>
    <w:multiLevelType w:val="hybridMultilevel"/>
    <w:tmpl w:val="75F245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D90F4F"/>
    <w:multiLevelType w:val="hybridMultilevel"/>
    <w:tmpl w:val="F24E63D2"/>
    <w:lvl w:ilvl="0" w:tplc="040E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A5F644A"/>
    <w:multiLevelType w:val="hybridMultilevel"/>
    <w:tmpl w:val="8806E4CA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10">
    <w:nsid w:val="4CFD4FD3"/>
    <w:multiLevelType w:val="hybridMultilevel"/>
    <w:tmpl w:val="437EB89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7B44B4"/>
    <w:multiLevelType w:val="hybridMultilevel"/>
    <w:tmpl w:val="E5B617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8824FB"/>
    <w:multiLevelType w:val="hybridMultilevel"/>
    <w:tmpl w:val="23F86E76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2F35CE8"/>
    <w:multiLevelType w:val="hybridMultilevel"/>
    <w:tmpl w:val="07E2CD48"/>
    <w:lvl w:ilvl="0" w:tplc="040E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C1A665E"/>
    <w:multiLevelType w:val="hybridMultilevel"/>
    <w:tmpl w:val="DD361632"/>
    <w:lvl w:ilvl="0" w:tplc="040E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3"/>
  </w:num>
  <w:num w:numId="5">
    <w:abstractNumId w:val="6"/>
  </w:num>
  <w:num w:numId="6">
    <w:abstractNumId w:val="9"/>
  </w:num>
  <w:num w:numId="7">
    <w:abstractNumId w:val="10"/>
  </w:num>
  <w:num w:numId="8">
    <w:abstractNumId w:val="0"/>
  </w:num>
  <w:num w:numId="9">
    <w:abstractNumId w:val="2"/>
  </w:num>
  <w:num w:numId="10">
    <w:abstractNumId w:val="4"/>
  </w:num>
  <w:num w:numId="11">
    <w:abstractNumId w:val="1"/>
  </w:num>
  <w:num w:numId="12">
    <w:abstractNumId w:val="5"/>
  </w:num>
  <w:num w:numId="13">
    <w:abstractNumId w:val="8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B321A"/>
    <w:rsid w:val="00064802"/>
    <w:rsid w:val="00065D45"/>
    <w:rsid w:val="00082880"/>
    <w:rsid w:val="000B0130"/>
    <w:rsid w:val="000B321A"/>
    <w:rsid w:val="000F7FEC"/>
    <w:rsid w:val="00182371"/>
    <w:rsid w:val="001D4977"/>
    <w:rsid w:val="00212F17"/>
    <w:rsid w:val="00225DCC"/>
    <w:rsid w:val="002934A3"/>
    <w:rsid w:val="002955C3"/>
    <w:rsid w:val="002C1335"/>
    <w:rsid w:val="002F42C9"/>
    <w:rsid w:val="00311CA1"/>
    <w:rsid w:val="00313393"/>
    <w:rsid w:val="003501C9"/>
    <w:rsid w:val="0035111C"/>
    <w:rsid w:val="003601EC"/>
    <w:rsid w:val="00361391"/>
    <w:rsid w:val="003A0199"/>
    <w:rsid w:val="003D1500"/>
    <w:rsid w:val="003F66B9"/>
    <w:rsid w:val="004C0D82"/>
    <w:rsid w:val="00507C98"/>
    <w:rsid w:val="005639BF"/>
    <w:rsid w:val="00572D2B"/>
    <w:rsid w:val="0060464C"/>
    <w:rsid w:val="0060773D"/>
    <w:rsid w:val="0062712E"/>
    <w:rsid w:val="006A7374"/>
    <w:rsid w:val="006D780E"/>
    <w:rsid w:val="00734C36"/>
    <w:rsid w:val="00891507"/>
    <w:rsid w:val="008B0F80"/>
    <w:rsid w:val="008B670F"/>
    <w:rsid w:val="00913E19"/>
    <w:rsid w:val="009258D2"/>
    <w:rsid w:val="009501A8"/>
    <w:rsid w:val="009C5A3C"/>
    <w:rsid w:val="009E6E6F"/>
    <w:rsid w:val="009F43AE"/>
    <w:rsid w:val="009F5146"/>
    <w:rsid w:val="00A03D28"/>
    <w:rsid w:val="00A04620"/>
    <w:rsid w:val="00B10AB7"/>
    <w:rsid w:val="00CA02C9"/>
    <w:rsid w:val="00CC3C63"/>
    <w:rsid w:val="00CC6FF8"/>
    <w:rsid w:val="00CE3685"/>
    <w:rsid w:val="00D54815"/>
    <w:rsid w:val="00E6421A"/>
    <w:rsid w:val="00E74D13"/>
    <w:rsid w:val="00E96457"/>
    <w:rsid w:val="00EA5396"/>
    <w:rsid w:val="00F07DBA"/>
    <w:rsid w:val="00F4076A"/>
    <w:rsid w:val="00FB41B2"/>
    <w:rsid w:val="00FE1A68"/>
    <w:rsid w:val="00FE2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934A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B32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548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7</cp:revision>
  <dcterms:created xsi:type="dcterms:W3CDTF">2012-03-23T10:40:00Z</dcterms:created>
  <dcterms:modified xsi:type="dcterms:W3CDTF">2012-03-23T11:41:00Z</dcterms:modified>
</cp:coreProperties>
</file>